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D4" w:rsidRPr="00FD2AD4" w:rsidRDefault="00FD2AD4" w:rsidP="00FD2AD4">
      <w:pPr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 w:rsidRPr="00FD2AD4">
        <w:rPr>
          <w:rFonts w:ascii="Verdana" w:hAnsi="Verdana"/>
          <w:i/>
          <w:sz w:val="18"/>
          <w:szCs w:val="18"/>
        </w:rPr>
        <w:t>Nom : ………………</w:t>
      </w:r>
      <w:r>
        <w:rPr>
          <w:rFonts w:ascii="Verdana" w:hAnsi="Verdana"/>
          <w:i/>
          <w:sz w:val="18"/>
          <w:szCs w:val="18"/>
        </w:rPr>
        <w:t>…………………</w:t>
      </w:r>
      <w:r w:rsidRPr="00FD2AD4">
        <w:rPr>
          <w:rFonts w:ascii="Verdana" w:hAnsi="Verdana"/>
          <w:i/>
          <w:sz w:val="18"/>
          <w:szCs w:val="18"/>
        </w:rPr>
        <w:t>………………………………. Prénom : ……………</w:t>
      </w:r>
      <w:r>
        <w:rPr>
          <w:rFonts w:ascii="Verdana" w:hAnsi="Verdana"/>
          <w:i/>
          <w:sz w:val="18"/>
          <w:szCs w:val="18"/>
        </w:rPr>
        <w:t>…………………</w:t>
      </w:r>
      <w:r w:rsidRPr="00FD2AD4">
        <w:rPr>
          <w:rFonts w:ascii="Verdana" w:hAnsi="Verdana"/>
          <w:i/>
          <w:sz w:val="18"/>
          <w:szCs w:val="18"/>
        </w:rPr>
        <w:t>………………………………………………….</w:t>
      </w:r>
    </w:p>
    <w:p w:rsidR="00FD2AD4" w:rsidRPr="00FD2AD4" w:rsidRDefault="00FD2AD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FD2AD4" w:rsidRDefault="00FD2AD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122034" w:rsidRDefault="0012203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122034" w:rsidRDefault="0012203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122034" w:rsidRDefault="0012203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122034" w:rsidRDefault="0012203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122034" w:rsidRPr="00FD2AD4" w:rsidRDefault="0012203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FD2AD4" w:rsidRPr="00FD2AD4" w:rsidRDefault="00FD2AD4" w:rsidP="00FD2AD4">
      <w:pPr>
        <w:jc w:val="both"/>
        <w:rPr>
          <w:rFonts w:ascii="Verdana" w:hAnsi="Verdana"/>
          <w:i/>
          <w:sz w:val="18"/>
          <w:szCs w:val="18"/>
        </w:rPr>
      </w:pPr>
    </w:p>
    <w:p w:rsidR="00FD2AD4" w:rsidRPr="00FD2AD4" w:rsidRDefault="00FD2AD4" w:rsidP="00122034">
      <w:pPr>
        <w:jc w:val="both"/>
        <w:rPr>
          <w:rFonts w:ascii="Verdana" w:hAnsi="Verdana"/>
          <w:sz w:val="18"/>
          <w:szCs w:val="18"/>
        </w:rPr>
      </w:pPr>
      <w:r w:rsidRPr="00FD2AD4">
        <w:rPr>
          <w:rFonts w:ascii="Verdana" w:hAnsi="Verdana"/>
          <w:sz w:val="18"/>
          <w:szCs w:val="18"/>
        </w:rPr>
        <w:t>Dans le tableau suivant, cochez les fon</w:t>
      </w:r>
      <w:r w:rsidRPr="00FD2AD4">
        <w:rPr>
          <w:rFonts w:ascii="Verdana" w:hAnsi="Verdana"/>
          <w:sz w:val="18"/>
          <w:szCs w:val="18"/>
        </w:rPr>
        <w:t>c</w:t>
      </w:r>
      <w:r w:rsidRPr="00FD2AD4">
        <w:rPr>
          <w:rFonts w:ascii="Verdana" w:hAnsi="Verdana"/>
          <w:sz w:val="18"/>
          <w:szCs w:val="18"/>
        </w:rPr>
        <w:t>tions que vous vous refusez personnellement d’attribuer à la traduction (c’est-à-dire au recours à la méthode indirecte). Sous le tableau (en version électronique) ou au verso de la page (en version imprimée), puis justifiez chacun de vos refus de que</w:t>
      </w:r>
      <w:r w:rsidRPr="00FD2AD4">
        <w:rPr>
          <w:rFonts w:ascii="Verdana" w:hAnsi="Verdana"/>
          <w:sz w:val="18"/>
          <w:szCs w:val="18"/>
        </w:rPr>
        <w:t>l</w:t>
      </w:r>
      <w:r w:rsidRPr="00FD2AD4">
        <w:rPr>
          <w:rFonts w:ascii="Verdana" w:hAnsi="Verdana"/>
          <w:sz w:val="18"/>
          <w:szCs w:val="18"/>
        </w:rPr>
        <w:t>ques lignes d’explication.</w:t>
      </w:r>
    </w:p>
    <w:p w:rsidR="00FD2AD4" w:rsidRDefault="00FD2AD4" w:rsidP="00122034">
      <w:pPr>
        <w:jc w:val="both"/>
        <w:rPr>
          <w:rFonts w:ascii="Verdana" w:hAnsi="Verdana"/>
          <w:sz w:val="18"/>
          <w:szCs w:val="18"/>
        </w:rPr>
      </w:pPr>
    </w:p>
    <w:p w:rsidR="00FD2AD4" w:rsidRPr="00FD2AD4" w:rsidRDefault="00FD2AD4" w:rsidP="00122034">
      <w:pPr>
        <w:jc w:val="both"/>
        <w:rPr>
          <w:rFonts w:ascii="Verdana" w:hAnsi="Verdana"/>
          <w:sz w:val="18"/>
          <w:szCs w:val="18"/>
        </w:rPr>
      </w:pPr>
      <w:r w:rsidRPr="00FD2AD4">
        <w:rPr>
          <w:rFonts w:ascii="Verdana" w:hAnsi="Verdana"/>
          <w:i/>
          <w:sz w:val="18"/>
          <w:szCs w:val="18"/>
        </w:rPr>
        <w:t>Version imprimée</w:t>
      </w:r>
      <w:r>
        <w:rPr>
          <w:rFonts w:ascii="Verdana" w:hAnsi="Verdana"/>
          <w:sz w:val="18"/>
          <w:szCs w:val="18"/>
        </w:rPr>
        <w:t> : mettre une croix dans les cases correspondant à votre choix.</w:t>
      </w:r>
    </w:p>
    <w:p w:rsidR="00FD2AD4" w:rsidRPr="00FD2AD4" w:rsidRDefault="00FD2AD4" w:rsidP="00122034">
      <w:pPr>
        <w:jc w:val="both"/>
        <w:rPr>
          <w:rFonts w:ascii="Verdana" w:hAnsi="Verdana"/>
          <w:sz w:val="18"/>
          <w:szCs w:val="18"/>
        </w:rPr>
      </w:pPr>
      <w:r w:rsidRPr="00FD2AD4">
        <w:rPr>
          <w:rFonts w:ascii="Verdana" w:hAnsi="Verdana"/>
          <w:i/>
          <w:sz w:val="18"/>
          <w:szCs w:val="18"/>
        </w:rPr>
        <w:t>Version électronique</w:t>
      </w:r>
      <w:r w:rsidRPr="00FD2AD4">
        <w:rPr>
          <w:rFonts w:ascii="Verdana" w:hAnsi="Verdana"/>
          <w:sz w:val="18"/>
          <w:szCs w:val="18"/>
        </w:rPr>
        <w:t xml:space="preserve"> : pour cocher les cases, </w:t>
      </w:r>
      <w:r>
        <w:rPr>
          <w:rFonts w:ascii="Verdana" w:hAnsi="Verdana"/>
          <w:sz w:val="18"/>
          <w:szCs w:val="18"/>
        </w:rPr>
        <w:t>faites un double-clic</w:t>
      </w:r>
      <w:r w:rsidRPr="00FD2AD4">
        <w:rPr>
          <w:rFonts w:ascii="Verdana" w:hAnsi="Verdana"/>
          <w:sz w:val="18"/>
          <w:szCs w:val="18"/>
        </w:rPr>
        <w:t xml:space="preserve"> gauche avec la souris sur </w:t>
      </w:r>
      <w:smartTag w:uri="urn:schemas-microsoft-com:office:smarttags" w:element="PersonName">
        <w:smartTagPr>
          <w:attr w:name="ProductID" w:val="la case. Dans"/>
        </w:smartTagPr>
        <w:r w:rsidRPr="00FD2AD4">
          <w:rPr>
            <w:rFonts w:ascii="Verdana" w:hAnsi="Verdana"/>
            <w:sz w:val="18"/>
            <w:szCs w:val="18"/>
          </w:rPr>
          <w:t>la case. Dans</w:t>
        </w:r>
      </w:smartTag>
      <w:r w:rsidRPr="00FD2AD4">
        <w:rPr>
          <w:rFonts w:ascii="Verdana" w:hAnsi="Verdana"/>
          <w:sz w:val="18"/>
          <w:szCs w:val="18"/>
        </w:rPr>
        <w:t xml:space="preserve"> la fenêtre qui s’ouvre, cochez « Case activée », et validez par « OK ». P</w:t>
      </w:r>
      <w:r>
        <w:rPr>
          <w:rFonts w:ascii="Verdana" w:hAnsi="Verdana"/>
          <w:sz w:val="18"/>
          <w:szCs w:val="18"/>
        </w:rPr>
        <w:t>our décocher (</w:t>
      </w:r>
      <w:r w:rsidRPr="00FD2AD4">
        <w:rPr>
          <w:rFonts w:ascii="Verdana" w:hAnsi="Verdana"/>
          <w:sz w:val="18"/>
          <w:szCs w:val="18"/>
        </w:rPr>
        <w:t>en cas d’</w:t>
      </w:r>
      <w:r>
        <w:rPr>
          <w:rFonts w:ascii="Verdana" w:hAnsi="Verdana"/>
          <w:sz w:val="18"/>
          <w:szCs w:val="18"/>
        </w:rPr>
        <w:t xml:space="preserve">erreur </w:t>
      </w:r>
      <w:r w:rsidRPr="00FD2AD4">
        <w:rPr>
          <w:rFonts w:ascii="Verdana" w:hAnsi="Verdana"/>
          <w:sz w:val="18"/>
          <w:szCs w:val="18"/>
        </w:rPr>
        <w:t>ou de r</w:t>
      </w:r>
      <w:r w:rsidRPr="00FD2AD4">
        <w:rPr>
          <w:rFonts w:ascii="Verdana" w:hAnsi="Verdana"/>
          <w:sz w:val="18"/>
          <w:szCs w:val="18"/>
        </w:rPr>
        <w:t>e</w:t>
      </w:r>
      <w:r w:rsidRPr="00FD2AD4">
        <w:rPr>
          <w:rFonts w:ascii="Verdana" w:hAnsi="Verdana"/>
          <w:sz w:val="18"/>
          <w:szCs w:val="18"/>
        </w:rPr>
        <w:t>pentance…), faire la même opération avec « Case désactivée ».</w:t>
      </w:r>
    </w:p>
    <w:p w:rsidR="00FD2AD4" w:rsidRDefault="00FD2AD4" w:rsidP="00FD2AD4">
      <w:pPr>
        <w:rPr>
          <w:rFonts w:ascii="Verdana" w:hAnsi="Verdana"/>
          <w:sz w:val="20"/>
          <w:szCs w:val="20"/>
        </w:rPr>
      </w:pPr>
    </w:p>
    <w:tbl>
      <w:tblPr>
        <w:tblW w:w="102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14"/>
        <w:gridCol w:w="3211"/>
        <w:gridCol w:w="3372"/>
        <w:gridCol w:w="3371"/>
      </w:tblGrid>
      <w:tr w:rsidR="00FD2AD4" w:rsidRPr="00FD2AD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AD4" w:rsidRPr="00FD2AD4" w:rsidRDefault="00FD2AD4" w:rsidP="00961720">
            <w:pPr>
              <w:jc w:val="center"/>
              <w:rPr>
                <w:rFonts w:ascii="Verdana" w:hAnsi="Verdana"/>
                <w:b/>
                <w:bCs/>
                <w:smallCaps/>
              </w:rPr>
            </w:pPr>
          </w:p>
        </w:tc>
        <w:tc>
          <w:tcPr>
            <w:tcW w:w="99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center"/>
              <w:rPr>
                <w:rFonts w:ascii="Verdana" w:hAnsi="Verdana"/>
                <w:b/>
                <w:smallCaps/>
              </w:rPr>
            </w:pPr>
          </w:p>
          <w:p w:rsidR="00FD2AD4" w:rsidRPr="00FD2AD4" w:rsidRDefault="00FD2AD4" w:rsidP="00961720">
            <w:pPr>
              <w:jc w:val="center"/>
              <w:rPr>
                <w:rFonts w:ascii="Verdana" w:hAnsi="Verdana" w:cs="Arial"/>
                <w:b/>
                <w:bCs/>
                <w:iCs/>
                <w:smallCaps/>
              </w:rPr>
            </w:pPr>
            <w:r>
              <w:rPr>
                <w:rFonts w:ascii="Verdana" w:hAnsi="Verdana"/>
                <w:b/>
                <w:smallCaps/>
              </w:rPr>
              <w:t>Quelles fonctions pour</w:t>
            </w:r>
            <w:r w:rsidRPr="00FD2AD4">
              <w:rPr>
                <w:rFonts w:ascii="Verdana" w:hAnsi="Verdana"/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TRADUCTION EN CLASSE"/>
              </w:smartTagPr>
              <w:r w:rsidRPr="00FD2AD4">
                <w:rPr>
                  <w:rFonts w:ascii="Verdana" w:hAnsi="Verdana"/>
                  <w:b/>
                  <w:smallCaps/>
                </w:rPr>
                <w:t>la traduction</w:t>
              </w:r>
              <w:r w:rsidRPr="00FD2AD4">
                <w:rPr>
                  <w:rFonts w:ascii="Verdana" w:hAnsi="Verdana"/>
                  <w:b/>
                  <w:i/>
                  <w:smallCaps/>
                </w:rPr>
                <w:t xml:space="preserve"> </w:t>
              </w:r>
              <w:r w:rsidRPr="00FD2AD4">
                <w:rPr>
                  <w:rFonts w:ascii="Verdana" w:hAnsi="Verdana" w:cs="Arial"/>
                  <w:b/>
                  <w:bCs/>
                  <w:iCs/>
                  <w:smallCaps/>
                </w:rPr>
                <w:t xml:space="preserve">en </w:t>
              </w:r>
              <w:r>
                <w:rPr>
                  <w:rFonts w:ascii="Verdana" w:hAnsi="Verdana" w:cs="Arial"/>
                  <w:b/>
                  <w:bCs/>
                  <w:iCs/>
                  <w:smallCaps/>
                </w:rPr>
                <w:t>classe</w:t>
              </w:r>
            </w:smartTag>
            <w:r>
              <w:rPr>
                <w:rFonts w:ascii="Verdana" w:hAnsi="Verdana" w:cs="Arial"/>
                <w:b/>
                <w:bCs/>
                <w:iCs/>
                <w:smallCaps/>
              </w:rPr>
              <w:t xml:space="preserve"> de langue étrangère ?</w:t>
            </w:r>
          </w:p>
          <w:p w:rsidR="00FD2AD4" w:rsidRPr="00FD2AD4" w:rsidRDefault="00FD2AD4" w:rsidP="00961720">
            <w:pPr>
              <w:jc w:val="center"/>
              <w:rPr>
                <w:rFonts w:ascii="Verdana" w:hAnsi="Verdana" w:cs="Arial"/>
                <w:bCs/>
                <w:i/>
                <w:iCs/>
              </w:rPr>
            </w:pP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AD4" w:rsidRPr="00946B44" w:rsidRDefault="00FD2AD4" w:rsidP="00961720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AD4" w:rsidRPr="00946B44" w:rsidRDefault="00FD2AD4" w:rsidP="00961720">
            <w:pPr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946B44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activités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AD4" w:rsidRPr="00946B44" w:rsidRDefault="00FD2AD4" w:rsidP="00961720">
            <w:pPr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946B44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objectifs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AD4" w:rsidRPr="00946B44" w:rsidRDefault="00FD2AD4" w:rsidP="00961720">
            <w:pPr>
              <w:jc w:val="center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946B44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types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bookmarkStart w:id="1" w:name="CaseACocher1"/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FD2AD4">
              <w:rPr>
                <w:rFonts w:ascii="Verdana" w:hAnsi="Verdana" w:cs="Arial"/>
                <w:sz w:val="16"/>
                <w:szCs w:val="16"/>
              </w:rPr>
              <w:t> </w:t>
            </w: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traduire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ou faire traduire en L1 d’emblée des mots, des e</w:t>
            </w:r>
            <w:r w:rsidRPr="00FD2AD4">
              <w:rPr>
                <w:rFonts w:ascii="Verdana" w:hAnsi="Verdana" w:cs="Arial"/>
                <w:sz w:val="16"/>
                <w:szCs w:val="16"/>
              </w:rPr>
              <w:t>x</w:t>
            </w:r>
            <w:r w:rsidRPr="00FD2AD4">
              <w:rPr>
                <w:rFonts w:ascii="Verdana" w:hAnsi="Verdana" w:cs="Arial"/>
                <w:sz w:val="16"/>
                <w:szCs w:val="16"/>
              </w:rPr>
              <w:t>pressions, des phrases ou le “ texte ” (dialogue ou texte écrit) en L2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faire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comprendre le sens des mots et des expressions, ou le sens litt</w:t>
            </w:r>
            <w:r w:rsidRPr="00FD2AD4">
              <w:rPr>
                <w:rFonts w:ascii="Verdana" w:hAnsi="Verdana" w:cs="Arial"/>
                <w:sz w:val="16"/>
                <w:szCs w:val="16"/>
              </w:rPr>
              <w:t>é</w:t>
            </w:r>
            <w:r w:rsidRPr="00FD2AD4">
              <w:rPr>
                <w:rFonts w:ascii="Verdana" w:hAnsi="Verdana" w:cs="Arial"/>
                <w:sz w:val="16"/>
                <w:szCs w:val="16"/>
              </w:rPr>
              <w:t>ral des phrases ou de l’ensemble du document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traduction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visant à l’explication séma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tique/littérale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</w:t>
            </w: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traduire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ou faire traduire des mots, des expressions, des phr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ses ou le “ texte ” après les avoir expl</w:t>
            </w:r>
            <w:r w:rsidRPr="00FD2AD4">
              <w:rPr>
                <w:rFonts w:ascii="Verdana" w:hAnsi="Verdana" w:cs="Arial"/>
                <w:sz w:val="16"/>
                <w:szCs w:val="16"/>
              </w:rPr>
              <w:t>i</w:t>
            </w:r>
            <w:r w:rsidRPr="00FD2AD4">
              <w:rPr>
                <w:rFonts w:ascii="Verdana" w:hAnsi="Verdana" w:cs="Arial"/>
                <w:sz w:val="16"/>
                <w:szCs w:val="16"/>
              </w:rPr>
              <w:t>qués en L2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contrôler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ou assurer la compréhe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sion sémantique/</w:t>
            </w:r>
            <w:r w:rsidRPr="00FD2AD4">
              <w:rPr>
                <w:rFonts w:ascii="Verdana" w:hAnsi="Verdana" w:cs="Arial"/>
                <w:sz w:val="16"/>
                <w:szCs w:val="16"/>
              </w:rPr>
              <w:softHyphen/>
              <w:t>littérale pour ceux qui n’ont pas compris les explic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tions en L2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“ traduction pédagogique ”, qui vise les correspondances les plus étroites po</w:t>
            </w:r>
            <w:r w:rsidRPr="00FD2AD4">
              <w:rPr>
                <w:rFonts w:ascii="Verdana" w:hAnsi="Verdana" w:cs="Arial"/>
                <w:sz w:val="16"/>
                <w:szCs w:val="16"/>
              </w:rPr>
              <w:t>s</w:t>
            </w:r>
            <w:r w:rsidRPr="00FD2AD4">
              <w:rPr>
                <w:rFonts w:ascii="Verdana" w:hAnsi="Verdana" w:cs="Arial"/>
                <w:sz w:val="16"/>
                <w:szCs w:val="16"/>
              </w:rPr>
              <w:t>sibles en la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gue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</w:t>
            </w: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faire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traduire en L1 des expre</w:t>
            </w:r>
            <w:r w:rsidRPr="00FD2AD4">
              <w:rPr>
                <w:rFonts w:ascii="Verdana" w:hAnsi="Verdana" w:cs="Arial"/>
                <w:sz w:val="16"/>
                <w:szCs w:val="16"/>
              </w:rPr>
              <w:t>s</w:t>
            </w:r>
            <w:r w:rsidRPr="00FD2AD4">
              <w:rPr>
                <w:rFonts w:ascii="Verdana" w:hAnsi="Verdana" w:cs="Arial"/>
                <w:sz w:val="16"/>
                <w:szCs w:val="16"/>
              </w:rPr>
              <w:t>sions idiomatiques, ou tout un texte préalablement comme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té en L2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</w:t>
            </w: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entraîner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à l’écriture en L1</w:t>
            </w:r>
          </w:p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</w:t>
            </w:r>
            <w:proofErr w:type="gramStart"/>
            <w:r w:rsidRPr="00FD2AD4">
              <w:rPr>
                <w:rFonts w:ascii="Verdana" w:hAnsi="Verdana" w:cs="Arial"/>
                <w:sz w:val="16"/>
                <w:szCs w:val="16"/>
              </w:rPr>
              <w:t>vérifier</w:t>
            </w:r>
            <w:proofErr w:type="gramEnd"/>
            <w:r w:rsidRPr="00FD2AD4">
              <w:rPr>
                <w:rFonts w:ascii="Verdana" w:hAnsi="Verdana" w:cs="Arial"/>
                <w:sz w:val="16"/>
                <w:szCs w:val="16"/>
              </w:rPr>
              <w:t xml:space="preserve"> la compréhension pr</w:t>
            </w:r>
            <w:r w:rsidRPr="00FD2AD4">
              <w:rPr>
                <w:rFonts w:ascii="Verdana" w:hAnsi="Verdana" w:cs="Arial"/>
                <w:sz w:val="16"/>
                <w:szCs w:val="16"/>
              </w:rPr>
              <w:t>o</w:t>
            </w:r>
            <w:r w:rsidRPr="00FD2AD4">
              <w:rPr>
                <w:rFonts w:ascii="Verdana" w:hAnsi="Verdana" w:cs="Arial"/>
                <w:sz w:val="16"/>
                <w:szCs w:val="16"/>
              </w:rPr>
              <w:t>fonde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“ traduction interprétative ”, qui vise les équivalences globales en discours rendant compte le plus fidèlement possible de l’implicite, des connot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tions, des effets styli</w:t>
            </w:r>
            <w:r w:rsidRPr="00FD2AD4">
              <w:rPr>
                <w:rFonts w:ascii="Verdana" w:hAnsi="Verdana" w:cs="Arial"/>
                <w:sz w:val="16"/>
                <w:szCs w:val="16"/>
              </w:rPr>
              <w:t>s</w:t>
            </w:r>
            <w:r w:rsidRPr="00FD2AD4">
              <w:rPr>
                <w:rFonts w:ascii="Verdana" w:hAnsi="Verdana" w:cs="Arial"/>
                <w:sz w:val="16"/>
                <w:szCs w:val="16"/>
              </w:rPr>
              <w:t>tiques, etc.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traduire ou faire traduire en L1 une structure de L2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faire prendre conscience du fonctio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nement spécifique de la stru</w:t>
            </w:r>
            <w:r w:rsidRPr="00FD2AD4">
              <w:rPr>
                <w:rFonts w:ascii="Verdana" w:hAnsi="Verdana" w:cs="Arial"/>
                <w:sz w:val="16"/>
                <w:szCs w:val="16"/>
              </w:rPr>
              <w:t>c</w:t>
            </w:r>
            <w:r w:rsidRPr="00FD2AD4">
              <w:rPr>
                <w:rFonts w:ascii="Verdana" w:hAnsi="Verdana" w:cs="Arial"/>
                <w:sz w:val="16"/>
                <w:szCs w:val="16"/>
              </w:rPr>
              <w:t>ture de L2 par comparaison avec la structure co</w:t>
            </w:r>
            <w:r w:rsidRPr="00FD2AD4">
              <w:rPr>
                <w:rFonts w:ascii="Verdana" w:hAnsi="Verdana" w:cs="Arial"/>
                <w:sz w:val="16"/>
                <w:szCs w:val="16"/>
              </w:rPr>
              <w:t>r</w:t>
            </w:r>
            <w:r w:rsidRPr="00FD2AD4">
              <w:rPr>
                <w:rFonts w:ascii="Verdana" w:hAnsi="Verdana" w:cs="Arial"/>
                <w:sz w:val="16"/>
                <w:szCs w:val="16"/>
              </w:rPr>
              <w:t>respondante de1 L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traduction d’aide à la conceptual</w:t>
            </w:r>
            <w:r w:rsidRPr="00FD2AD4">
              <w:rPr>
                <w:rFonts w:ascii="Verdana" w:hAnsi="Verdana" w:cs="Arial"/>
                <w:sz w:val="16"/>
                <w:szCs w:val="16"/>
              </w:rPr>
              <w:t>i</w:t>
            </w:r>
            <w:r w:rsidRPr="00FD2AD4">
              <w:rPr>
                <w:rFonts w:ascii="Verdana" w:hAnsi="Verdana" w:cs="Arial"/>
                <w:sz w:val="16"/>
                <w:szCs w:val="16"/>
              </w:rPr>
              <w:t>sation grammaticale</w:t>
            </w:r>
          </w:p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faire traduire en L2 des stru</w:t>
            </w:r>
            <w:r w:rsidRPr="00FD2AD4">
              <w:rPr>
                <w:rFonts w:ascii="Verdana" w:hAnsi="Verdana" w:cs="Arial"/>
                <w:sz w:val="16"/>
                <w:szCs w:val="16"/>
              </w:rPr>
              <w:t>c</w:t>
            </w:r>
            <w:r w:rsidRPr="00FD2AD4">
              <w:rPr>
                <w:rFonts w:ascii="Verdana" w:hAnsi="Verdana" w:cs="Arial"/>
                <w:sz w:val="16"/>
                <w:szCs w:val="16"/>
              </w:rPr>
              <w:t>tures de L1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contrôler la capacité à repérer la règle mise en jeu, à se r</w:t>
            </w:r>
            <w:r w:rsidRPr="00FD2AD4">
              <w:rPr>
                <w:rFonts w:ascii="Verdana" w:hAnsi="Verdana" w:cs="Arial"/>
                <w:sz w:val="16"/>
                <w:szCs w:val="16"/>
              </w:rPr>
              <w:t>e</w:t>
            </w:r>
            <w:r w:rsidRPr="00FD2AD4">
              <w:rPr>
                <w:rFonts w:ascii="Verdana" w:hAnsi="Verdana" w:cs="Arial"/>
                <w:sz w:val="16"/>
                <w:szCs w:val="16"/>
              </w:rPr>
              <w:t>mémorer cette règle, et à l’appliquer de manière réfl</w:t>
            </w:r>
            <w:r w:rsidRPr="00FD2AD4">
              <w:rPr>
                <w:rFonts w:ascii="Verdana" w:hAnsi="Verdana" w:cs="Arial"/>
                <w:sz w:val="16"/>
                <w:szCs w:val="16"/>
              </w:rPr>
              <w:t>é</w:t>
            </w:r>
            <w:r w:rsidRPr="00FD2AD4">
              <w:rPr>
                <w:rFonts w:ascii="Verdana" w:hAnsi="Verdana" w:cs="Arial"/>
                <w:sz w:val="16"/>
                <w:szCs w:val="16"/>
              </w:rPr>
              <w:t>chie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“ thème grammatical ”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traduire ou faire traduire en L1 une série de mots étrangers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faire prendre conscience du déco</w:t>
            </w:r>
            <w:r w:rsidRPr="00FD2AD4">
              <w:rPr>
                <w:rFonts w:ascii="Verdana" w:hAnsi="Verdana" w:cs="Arial"/>
                <w:sz w:val="16"/>
                <w:szCs w:val="16"/>
              </w:rPr>
              <w:t>u</w:t>
            </w:r>
            <w:r w:rsidRPr="00FD2AD4">
              <w:rPr>
                <w:rFonts w:ascii="Verdana" w:hAnsi="Verdana" w:cs="Arial"/>
                <w:sz w:val="16"/>
                <w:szCs w:val="16"/>
              </w:rPr>
              <w:t>page différent de la r</w:t>
            </w:r>
            <w:r w:rsidRPr="00FD2AD4">
              <w:rPr>
                <w:rFonts w:ascii="Verdana" w:hAnsi="Verdana" w:cs="Arial"/>
                <w:sz w:val="16"/>
                <w:szCs w:val="16"/>
              </w:rPr>
              <w:t>é</w:t>
            </w:r>
            <w:r w:rsidRPr="00FD2AD4">
              <w:rPr>
                <w:rFonts w:ascii="Verdana" w:hAnsi="Verdana" w:cs="Arial"/>
                <w:sz w:val="16"/>
                <w:szCs w:val="16"/>
              </w:rPr>
              <w:t>alité dans chaque langue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traduction d’aide à la conceptual</w:t>
            </w:r>
            <w:r w:rsidRPr="00FD2AD4">
              <w:rPr>
                <w:rFonts w:ascii="Verdana" w:hAnsi="Verdana" w:cs="Arial"/>
                <w:sz w:val="16"/>
                <w:szCs w:val="16"/>
              </w:rPr>
              <w:t>i</w:t>
            </w:r>
            <w:r w:rsidRPr="00FD2AD4">
              <w:rPr>
                <w:rFonts w:ascii="Verdana" w:hAnsi="Verdana" w:cs="Arial"/>
                <w:sz w:val="16"/>
                <w:szCs w:val="16"/>
              </w:rPr>
              <w:t>sation lexicale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traduire en L2 des mots ou e</w:t>
            </w:r>
            <w:r w:rsidRPr="00FD2AD4">
              <w:rPr>
                <w:rFonts w:ascii="Verdana" w:hAnsi="Verdana" w:cs="Arial"/>
                <w:sz w:val="16"/>
                <w:szCs w:val="16"/>
              </w:rPr>
              <w:t>x</w:t>
            </w:r>
            <w:r w:rsidRPr="00FD2AD4">
              <w:rPr>
                <w:rFonts w:ascii="Verdana" w:hAnsi="Verdana" w:cs="Arial"/>
                <w:sz w:val="16"/>
                <w:szCs w:val="16"/>
              </w:rPr>
              <w:t>pressions de L1 d</w:t>
            </w:r>
            <w:r w:rsidRPr="00FD2AD4">
              <w:rPr>
                <w:rFonts w:ascii="Verdana" w:hAnsi="Verdana" w:cs="Arial"/>
                <w:sz w:val="16"/>
                <w:szCs w:val="16"/>
              </w:rPr>
              <w:t>e</w:t>
            </w:r>
            <w:r w:rsidRPr="00FD2AD4">
              <w:rPr>
                <w:rFonts w:ascii="Verdana" w:hAnsi="Verdana" w:cs="Arial"/>
                <w:sz w:val="16"/>
                <w:szCs w:val="16"/>
              </w:rPr>
              <w:t>mandées par les élèves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fournir à la demande aux él</w:t>
            </w:r>
            <w:r w:rsidRPr="00FD2AD4">
              <w:rPr>
                <w:rFonts w:ascii="Verdana" w:hAnsi="Verdana" w:cs="Arial"/>
                <w:sz w:val="16"/>
                <w:szCs w:val="16"/>
              </w:rPr>
              <w:t>è</w:t>
            </w:r>
            <w:r w:rsidRPr="00FD2AD4">
              <w:rPr>
                <w:rFonts w:ascii="Verdana" w:hAnsi="Verdana" w:cs="Arial"/>
                <w:sz w:val="16"/>
                <w:szCs w:val="16"/>
              </w:rPr>
              <w:t>ves les moyens linguistiques qu’ils considèrent indispens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bles pour leurs besoins d’expression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traduction d’aide à l’expression en L2 des élèves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donner d’emblée aux él</w:t>
            </w:r>
            <w:r w:rsidRPr="00FD2AD4">
              <w:rPr>
                <w:rFonts w:ascii="Verdana" w:hAnsi="Verdana" w:cs="Arial"/>
                <w:sz w:val="16"/>
                <w:szCs w:val="16"/>
              </w:rPr>
              <w:t>è</w:t>
            </w:r>
            <w:r w:rsidRPr="00FD2AD4">
              <w:rPr>
                <w:rFonts w:ascii="Verdana" w:hAnsi="Verdana" w:cs="Arial"/>
                <w:sz w:val="16"/>
                <w:szCs w:val="16"/>
              </w:rPr>
              <w:t>ves la liste traduite des mots et expre</w:t>
            </w:r>
            <w:r w:rsidRPr="00FD2AD4">
              <w:rPr>
                <w:rFonts w:ascii="Verdana" w:hAnsi="Verdana" w:cs="Arial"/>
                <w:sz w:val="16"/>
                <w:szCs w:val="16"/>
              </w:rPr>
              <w:t>s</w:t>
            </w:r>
            <w:r w:rsidRPr="00FD2AD4">
              <w:rPr>
                <w:rFonts w:ascii="Verdana" w:hAnsi="Verdana" w:cs="Arial"/>
                <w:sz w:val="16"/>
                <w:szCs w:val="16"/>
              </w:rPr>
              <w:t>sions qui leur seront utiles pour réaliser une tâche (commentaire d’un texte ou d’un dessin, par exemple), ou la traduction d’un doc</w:t>
            </w:r>
            <w:r w:rsidRPr="00FD2AD4">
              <w:rPr>
                <w:rFonts w:ascii="Verdana" w:hAnsi="Verdana" w:cs="Arial"/>
                <w:sz w:val="16"/>
                <w:szCs w:val="16"/>
              </w:rPr>
              <w:t>u</w:t>
            </w:r>
            <w:r w:rsidRPr="00FD2AD4">
              <w:rPr>
                <w:rFonts w:ascii="Verdana" w:hAnsi="Verdana" w:cs="Arial"/>
                <w:sz w:val="16"/>
                <w:szCs w:val="16"/>
              </w:rPr>
              <w:t>ment entier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fournir d’emblée aux élèves les moyens linguistiques ou les connaissances culturelles dont on sait qu’ils auront besoin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traduction d’aide à l’expression en L2 des élèves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faire traduire d’emblée et de m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nière intensive dans un sens ou dans l’autre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faire assimiler les struct</w:t>
            </w:r>
            <w:r w:rsidRPr="00FD2AD4">
              <w:rPr>
                <w:rFonts w:ascii="Verdana" w:hAnsi="Verdana" w:cs="Arial"/>
                <w:sz w:val="16"/>
                <w:szCs w:val="16"/>
              </w:rPr>
              <w:t>u</w:t>
            </w:r>
            <w:r w:rsidRPr="00FD2AD4">
              <w:rPr>
                <w:rFonts w:ascii="Verdana" w:hAnsi="Verdana" w:cs="Arial"/>
                <w:sz w:val="16"/>
                <w:szCs w:val="16"/>
              </w:rPr>
              <w:t>res de la L2 en automatisant l’application des règles corre</w:t>
            </w:r>
            <w:r w:rsidRPr="00FD2AD4">
              <w:rPr>
                <w:rFonts w:ascii="Verdana" w:hAnsi="Verdana" w:cs="Arial"/>
                <w:sz w:val="16"/>
                <w:szCs w:val="16"/>
              </w:rPr>
              <w:t>s</w:t>
            </w:r>
            <w:r w:rsidRPr="00FD2AD4">
              <w:rPr>
                <w:rFonts w:ascii="Verdana" w:hAnsi="Verdana" w:cs="Arial"/>
                <w:sz w:val="16"/>
                <w:szCs w:val="16"/>
              </w:rPr>
              <w:t>pondantes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–traduction d’entraînement grammat</w:t>
            </w:r>
            <w:r w:rsidRPr="00FD2AD4">
              <w:rPr>
                <w:rFonts w:ascii="Verdana" w:hAnsi="Verdana" w:cs="Arial"/>
                <w:sz w:val="16"/>
                <w:szCs w:val="16"/>
              </w:rPr>
              <w:t>i</w:t>
            </w:r>
            <w:r w:rsidRPr="00FD2AD4">
              <w:rPr>
                <w:rFonts w:ascii="Verdana" w:hAnsi="Verdana" w:cs="Arial"/>
                <w:sz w:val="16"/>
                <w:szCs w:val="16"/>
              </w:rPr>
              <w:t>cal</w:t>
            </w:r>
          </w:p>
        </w:tc>
      </w:tr>
      <w:tr w:rsidR="00FD2AD4" w:rsidRPr="00946B4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AD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D2AD4">
              <w:rPr>
                <w:rFonts w:ascii="Verdana" w:hAnsi="Verdana" w:cs="Arial"/>
                <w:sz w:val="16"/>
                <w:szCs w:val="16"/>
              </w:rPr>
            </w:r>
            <w:r w:rsidRPr="00FD2AD4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FD2AD4">
              <w:rPr>
                <w:rFonts w:ascii="Verdana" w:hAnsi="Verdana" w:cs="Arial"/>
                <w:sz w:val="16"/>
                <w:szCs w:val="16"/>
              </w:rPr>
              <w:t> entraîner à gérer des situ</w:t>
            </w:r>
            <w:r w:rsidRPr="00FD2AD4">
              <w:rPr>
                <w:rFonts w:ascii="Verdana" w:hAnsi="Verdana" w:cs="Arial"/>
                <w:sz w:val="16"/>
                <w:szCs w:val="16"/>
              </w:rPr>
              <w:t>a</w:t>
            </w:r>
            <w:r w:rsidRPr="00FD2AD4">
              <w:rPr>
                <w:rFonts w:ascii="Verdana" w:hAnsi="Verdana" w:cs="Arial"/>
                <w:sz w:val="16"/>
                <w:szCs w:val="16"/>
              </w:rPr>
              <w:t>tions authentiques professio</w:t>
            </w:r>
            <w:r w:rsidRPr="00FD2AD4">
              <w:rPr>
                <w:rFonts w:ascii="Verdana" w:hAnsi="Verdana" w:cs="Arial"/>
                <w:sz w:val="16"/>
                <w:szCs w:val="16"/>
              </w:rPr>
              <w:t>n</w:t>
            </w:r>
            <w:r w:rsidRPr="00FD2AD4">
              <w:rPr>
                <w:rFonts w:ascii="Verdana" w:hAnsi="Verdana" w:cs="Arial"/>
                <w:sz w:val="16"/>
                <w:szCs w:val="16"/>
              </w:rPr>
              <w:t>nelles ou non professionnelles de traduction en temps réel</w:t>
            </w:r>
          </w:p>
        </w:tc>
        <w:tc>
          <w:tcPr>
            <w:tcW w:w="337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AD4" w:rsidRPr="00FD2AD4" w:rsidRDefault="00FD2AD4" w:rsidP="009617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2AD4">
              <w:rPr>
                <w:rFonts w:ascii="Verdana" w:hAnsi="Verdana" w:cs="Arial"/>
                <w:sz w:val="16"/>
                <w:szCs w:val="16"/>
              </w:rPr>
              <w:t>–“ traduction simultanée ”</w:t>
            </w:r>
          </w:p>
        </w:tc>
      </w:tr>
    </w:tbl>
    <w:p w:rsidR="00122034" w:rsidRDefault="00122034" w:rsidP="0068657D">
      <w:pPr>
        <w:rPr>
          <w:rFonts w:ascii="Verdana" w:hAnsi="Verdana"/>
          <w:sz w:val="20"/>
          <w:szCs w:val="20"/>
        </w:rPr>
      </w:pPr>
    </w:p>
    <w:sectPr w:rsidR="00122034" w:rsidSect="00FD2AD4">
      <w:footerReference w:type="even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F1" w:rsidRDefault="00574CF1">
      <w:r>
        <w:separator/>
      </w:r>
    </w:p>
  </w:endnote>
  <w:endnote w:type="continuationSeparator" w:id="0">
    <w:p w:rsidR="00574CF1" w:rsidRDefault="005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E0" w:rsidRDefault="00C832E0" w:rsidP="009509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32E0" w:rsidRDefault="00C83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F1" w:rsidRDefault="00574CF1">
      <w:r>
        <w:separator/>
      </w:r>
    </w:p>
  </w:footnote>
  <w:footnote w:type="continuationSeparator" w:id="0">
    <w:p w:rsidR="00574CF1" w:rsidRDefault="0057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EFF"/>
    <w:multiLevelType w:val="singleLevel"/>
    <w:tmpl w:val="077A0F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0"/>
    <w:rsid w:val="0000117B"/>
    <w:rsid w:val="0001174D"/>
    <w:rsid w:val="00014DC9"/>
    <w:rsid w:val="000159C9"/>
    <w:rsid w:val="0002032E"/>
    <w:rsid w:val="000223BD"/>
    <w:rsid w:val="000228FC"/>
    <w:rsid w:val="0002701C"/>
    <w:rsid w:val="00030622"/>
    <w:rsid w:val="00031283"/>
    <w:rsid w:val="000368CB"/>
    <w:rsid w:val="000370C0"/>
    <w:rsid w:val="00037472"/>
    <w:rsid w:val="000402C5"/>
    <w:rsid w:val="0004544F"/>
    <w:rsid w:val="00046FBD"/>
    <w:rsid w:val="00047103"/>
    <w:rsid w:val="000601FD"/>
    <w:rsid w:val="00062E7D"/>
    <w:rsid w:val="0006373E"/>
    <w:rsid w:val="0006603F"/>
    <w:rsid w:val="0007280A"/>
    <w:rsid w:val="000738C2"/>
    <w:rsid w:val="0007390F"/>
    <w:rsid w:val="00073C5C"/>
    <w:rsid w:val="00076F8D"/>
    <w:rsid w:val="000841E8"/>
    <w:rsid w:val="00090ADA"/>
    <w:rsid w:val="00091F13"/>
    <w:rsid w:val="0009424E"/>
    <w:rsid w:val="00094BFA"/>
    <w:rsid w:val="00094CA0"/>
    <w:rsid w:val="0009522A"/>
    <w:rsid w:val="00095EED"/>
    <w:rsid w:val="00097C01"/>
    <w:rsid w:val="000A0C22"/>
    <w:rsid w:val="000A1DE7"/>
    <w:rsid w:val="000A31BD"/>
    <w:rsid w:val="000A56BD"/>
    <w:rsid w:val="000A64F0"/>
    <w:rsid w:val="000A6B86"/>
    <w:rsid w:val="000B0DCC"/>
    <w:rsid w:val="000B22C0"/>
    <w:rsid w:val="000B3572"/>
    <w:rsid w:val="000B5244"/>
    <w:rsid w:val="000B55D6"/>
    <w:rsid w:val="000C00F6"/>
    <w:rsid w:val="000C180D"/>
    <w:rsid w:val="000C38E7"/>
    <w:rsid w:val="000C6846"/>
    <w:rsid w:val="000C7BC9"/>
    <w:rsid w:val="000D678F"/>
    <w:rsid w:val="000D679C"/>
    <w:rsid w:val="000D7598"/>
    <w:rsid w:val="000D7939"/>
    <w:rsid w:val="000E119C"/>
    <w:rsid w:val="000E21D8"/>
    <w:rsid w:val="000E324B"/>
    <w:rsid w:val="000E384C"/>
    <w:rsid w:val="000E6308"/>
    <w:rsid w:val="000F0498"/>
    <w:rsid w:val="000F075A"/>
    <w:rsid w:val="000F70AD"/>
    <w:rsid w:val="000F7EF3"/>
    <w:rsid w:val="001015C7"/>
    <w:rsid w:val="00101979"/>
    <w:rsid w:val="00101E5C"/>
    <w:rsid w:val="00103191"/>
    <w:rsid w:val="00103652"/>
    <w:rsid w:val="00105340"/>
    <w:rsid w:val="00106C9B"/>
    <w:rsid w:val="00107B4D"/>
    <w:rsid w:val="00122034"/>
    <w:rsid w:val="00122534"/>
    <w:rsid w:val="001300B7"/>
    <w:rsid w:val="00133F90"/>
    <w:rsid w:val="001374D7"/>
    <w:rsid w:val="00146C5D"/>
    <w:rsid w:val="001470C4"/>
    <w:rsid w:val="001476CA"/>
    <w:rsid w:val="001515C3"/>
    <w:rsid w:val="00151D48"/>
    <w:rsid w:val="00153F73"/>
    <w:rsid w:val="00156283"/>
    <w:rsid w:val="001624F7"/>
    <w:rsid w:val="00166FD2"/>
    <w:rsid w:val="001725FE"/>
    <w:rsid w:val="0017376E"/>
    <w:rsid w:val="00173E41"/>
    <w:rsid w:val="0017798F"/>
    <w:rsid w:val="001836DA"/>
    <w:rsid w:val="00186E4E"/>
    <w:rsid w:val="00190C2E"/>
    <w:rsid w:val="00192173"/>
    <w:rsid w:val="00194B42"/>
    <w:rsid w:val="00196904"/>
    <w:rsid w:val="001976B3"/>
    <w:rsid w:val="0019770F"/>
    <w:rsid w:val="001A2615"/>
    <w:rsid w:val="001B17B9"/>
    <w:rsid w:val="001B2AED"/>
    <w:rsid w:val="001B5C7E"/>
    <w:rsid w:val="001C2F20"/>
    <w:rsid w:val="001C2F3B"/>
    <w:rsid w:val="001C4079"/>
    <w:rsid w:val="001D0609"/>
    <w:rsid w:val="001D212E"/>
    <w:rsid w:val="001D371E"/>
    <w:rsid w:val="001D3DAB"/>
    <w:rsid w:val="001D4496"/>
    <w:rsid w:val="001D4858"/>
    <w:rsid w:val="001D4B6B"/>
    <w:rsid w:val="001D6B8F"/>
    <w:rsid w:val="001E1294"/>
    <w:rsid w:val="001E14D5"/>
    <w:rsid w:val="001E360B"/>
    <w:rsid w:val="001E4737"/>
    <w:rsid w:val="001E4893"/>
    <w:rsid w:val="001E59A8"/>
    <w:rsid w:val="001F0579"/>
    <w:rsid w:val="001F29AF"/>
    <w:rsid w:val="001F41A3"/>
    <w:rsid w:val="001F44BC"/>
    <w:rsid w:val="001F4E39"/>
    <w:rsid w:val="001F51D1"/>
    <w:rsid w:val="001F54D1"/>
    <w:rsid w:val="001F5583"/>
    <w:rsid w:val="00201414"/>
    <w:rsid w:val="00202749"/>
    <w:rsid w:val="002063A8"/>
    <w:rsid w:val="002063AE"/>
    <w:rsid w:val="0020697B"/>
    <w:rsid w:val="00206AF7"/>
    <w:rsid w:val="00207269"/>
    <w:rsid w:val="0021001C"/>
    <w:rsid w:val="002153EF"/>
    <w:rsid w:val="002238FF"/>
    <w:rsid w:val="00225C1E"/>
    <w:rsid w:val="00225C6A"/>
    <w:rsid w:val="0022688E"/>
    <w:rsid w:val="00230C5A"/>
    <w:rsid w:val="00231826"/>
    <w:rsid w:val="00237F3C"/>
    <w:rsid w:val="002402D2"/>
    <w:rsid w:val="00240CCD"/>
    <w:rsid w:val="002410EF"/>
    <w:rsid w:val="002417B7"/>
    <w:rsid w:val="00242884"/>
    <w:rsid w:val="00244708"/>
    <w:rsid w:val="00247CF8"/>
    <w:rsid w:val="002509DE"/>
    <w:rsid w:val="0025231C"/>
    <w:rsid w:val="00252386"/>
    <w:rsid w:val="002552B4"/>
    <w:rsid w:val="0025759E"/>
    <w:rsid w:val="00261C7E"/>
    <w:rsid w:val="002671B2"/>
    <w:rsid w:val="00270A17"/>
    <w:rsid w:val="00277B8A"/>
    <w:rsid w:val="0028027F"/>
    <w:rsid w:val="00283ADD"/>
    <w:rsid w:val="00284CFE"/>
    <w:rsid w:val="00287B15"/>
    <w:rsid w:val="00290EF2"/>
    <w:rsid w:val="00292E63"/>
    <w:rsid w:val="00295883"/>
    <w:rsid w:val="00297DFF"/>
    <w:rsid w:val="002A0A32"/>
    <w:rsid w:val="002A4421"/>
    <w:rsid w:val="002A5C7C"/>
    <w:rsid w:val="002A5FD6"/>
    <w:rsid w:val="002A6015"/>
    <w:rsid w:val="002A68B9"/>
    <w:rsid w:val="002A70EE"/>
    <w:rsid w:val="002A7616"/>
    <w:rsid w:val="002B2BDF"/>
    <w:rsid w:val="002B45C3"/>
    <w:rsid w:val="002C131A"/>
    <w:rsid w:val="002C1D69"/>
    <w:rsid w:val="002C40D3"/>
    <w:rsid w:val="002C61DF"/>
    <w:rsid w:val="002C6342"/>
    <w:rsid w:val="002D0DE1"/>
    <w:rsid w:val="002D209A"/>
    <w:rsid w:val="002D20E3"/>
    <w:rsid w:val="002D2363"/>
    <w:rsid w:val="002D29EB"/>
    <w:rsid w:val="002D2E68"/>
    <w:rsid w:val="002D449B"/>
    <w:rsid w:val="002E080D"/>
    <w:rsid w:val="002E0AB8"/>
    <w:rsid w:val="002E2846"/>
    <w:rsid w:val="002E41ED"/>
    <w:rsid w:val="002E4C3B"/>
    <w:rsid w:val="002E656C"/>
    <w:rsid w:val="002E65F0"/>
    <w:rsid w:val="002F0C98"/>
    <w:rsid w:val="002F11EA"/>
    <w:rsid w:val="002F3BA5"/>
    <w:rsid w:val="002F5109"/>
    <w:rsid w:val="002F53D1"/>
    <w:rsid w:val="002F5807"/>
    <w:rsid w:val="002F62CD"/>
    <w:rsid w:val="002F7D7E"/>
    <w:rsid w:val="003008BA"/>
    <w:rsid w:val="00301AC9"/>
    <w:rsid w:val="00304162"/>
    <w:rsid w:val="003050E2"/>
    <w:rsid w:val="003123FA"/>
    <w:rsid w:val="003131FB"/>
    <w:rsid w:val="0031354F"/>
    <w:rsid w:val="00314353"/>
    <w:rsid w:val="00315569"/>
    <w:rsid w:val="0031743A"/>
    <w:rsid w:val="0031791D"/>
    <w:rsid w:val="00320AC5"/>
    <w:rsid w:val="00320DD8"/>
    <w:rsid w:val="00323447"/>
    <w:rsid w:val="00324C39"/>
    <w:rsid w:val="00324D4E"/>
    <w:rsid w:val="00325617"/>
    <w:rsid w:val="0033017D"/>
    <w:rsid w:val="00334737"/>
    <w:rsid w:val="00334C7F"/>
    <w:rsid w:val="00335B5F"/>
    <w:rsid w:val="00336AB0"/>
    <w:rsid w:val="003370AF"/>
    <w:rsid w:val="00340401"/>
    <w:rsid w:val="00341DC0"/>
    <w:rsid w:val="00342615"/>
    <w:rsid w:val="0034355B"/>
    <w:rsid w:val="00343A5E"/>
    <w:rsid w:val="00343B17"/>
    <w:rsid w:val="00344C5C"/>
    <w:rsid w:val="00345EF6"/>
    <w:rsid w:val="0034659D"/>
    <w:rsid w:val="00346D2E"/>
    <w:rsid w:val="00351990"/>
    <w:rsid w:val="003553AE"/>
    <w:rsid w:val="00355C0C"/>
    <w:rsid w:val="00360208"/>
    <w:rsid w:val="003614B8"/>
    <w:rsid w:val="00361758"/>
    <w:rsid w:val="00361B55"/>
    <w:rsid w:val="0036337D"/>
    <w:rsid w:val="00367039"/>
    <w:rsid w:val="003676AD"/>
    <w:rsid w:val="00370E2D"/>
    <w:rsid w:val="003753D9"/>
    <w:rsid w:val="00376F53"/>
    <w:rsid w:val="00377EE5"/>
    <w:rsid w:val="0038353E"/>
    <w:rsid w:val="003919DA"/>
    <w:rsid w:val="0039512D"/>
    <w:rsid w:val="00395DE6"/>
    <w:rsid w:val="003965E4"/>
    <w:rsid w:val="003A0658"/>
    <w:rsid w:val="003A3856"/>
    <w:rsid w:val="003A53AB"/>
    <w:rsid w:val="003A7322"/>
    <w:rsid w:val="003A7E63"/>
    <w:rsid w:val="003B061B"/>
    <w:rsid w:val="003B7C49"/>
    <w:rsid w:val="003C33D8"/>
    <w:rsid w:val="003C341F"/>
    <w:rsid w:val="003C4959"/>
    <w:rsid w:val="003C5476"/>
    <w:rsid w:val="003D11B3"/>
    <w:rsid w:val="003D1703"/>
    <w:rsid w:val="003D4868"/>
    <w:rsid w:val="003D6B19"/>
    <w:rsid w:val="003D70E2"/>
    <w:rsid w:val="003E0074"/>
    <w:rsid w:val="003E025B"/>
    <w:rsid w:val="003E2FB1"/>
    <w:rsid w:val="003E43CF"/>
    <w:rsid w:val="003E597B"/>
    <w:rsid w:val="003F0688"/>
    <w:rsid w:val="003F1FC0"/>
    <w:rsid w:val="003F355A"/>
    <w:rsid w:val="00400ACC"/>
    <w:rsid w:val="004016BC"/>
    <w:rsid w:val="0040186E"/>
    <w:rsid w:val="004025F7"/>
    <w:rsid w:val="0040609F"/>
    <w:rsid w:val="004068A6"/>
    <w:rsid w:val="0041207D"/>
    <w:rsid w:val="0041423B"/>
    <w:rsid w:val="004149DF"/>
    <w:rsid w:val="0042267C"/>
    <w:rsid w:val="00423F2B"/>
    <w:rsid w:val="004258F7"/>
    <w:rsid w:val="0042668F"/>
    <w:rsid w:val="00427303"/>
    <w:rsid w:val="0042741F"/>
    <w:rsid w:val="0043108B"/>
    <w:rsid w:val="00433E6D"/>
    <w:rsid w:val="00441580"/>
    <w:rsid w:val="004415D5"/>
    <w:rsid w:val="004422A2"/>
    <w:rsid w:val="00443DBA"/>
    <w:rsid w:val="00445780"/>
    <w:rsid w:val="00452B55"/>
    <w:rsid w:val="00457A6F"/>
    <w:rsid w:val="0046101B"/>
    <w:rsid w:val="0046255E"/>
    <w:rsid w:val="004626D9"/>
    <w:rsid w:val="00463EC5"/>
    <w:rsid w:val="00464687"/>
    <w:rsid w:val="0046647B"/>
    <w:rsid w:val="00475B47"/>
    <w:rsid w:val="0047655B"/>
    <w:rsid w:val="004772C3"/>
    <w:rsid w:val="00480101"/>
    <w:rsid w:val="00481FE2"/>
    <w:rsid w:val="0048331E"/>
    <w:rsid w:val="00483436"/>
    <w:rsid w:val="004848C1"/>
    <w:rsid w:val="00491663"/>
    <w:rsid w:val="00491AC8"/>
    <w:rsid w:val="004926DE"/>
    <w:rsid w:val="004960A6"/>
    <w:rsid w:val="004965E3"/>
    <w:rsid w:val="004A048E"/>
    <w:rsid w:val="004A052D"/>
    <w:rsid w:val="004A163D"/>
    <w:rsid w:val="004A3AC5"/>
    <w:rsid w:val="004A4362"/>
    <w:rsid w:val="004A4614"/>
    <w:rsid w:val="004A61F6"/>
    <w:rsid w:val="004A66E9"/>
    <w:rsid w:val="004B2718"/>
    <w:rsid w:val="004B74D7"/>
    <w:rsid w:val="004C234F"/>
    <w:rsid w:val="004C5CB6"/>
    <w:rsid w:val="004D0620"/>
    <w:rsid w:val="004D17FF"/>
    <w:rsid w:val="004D23BD"/>
    <w:rsid w:val="004D2EAE"/>
    <w:rsid w:val="004D4B80"/>
    <w:rsid w:val="004D7030"/>
    <w:rsid w:val="004E2B66"/>
    <w:rsid w:val="004E35C4"/>
    <w:rsid w:val="004E4087"/>
    <w:rsid w:val="004E5424"/>
    <w:rsid w:val="004E6191"/>
    <w:rsid w:val="004F39A4"/>
    <w:rsid w:val="004F4A86"/>
    <w:rsid w:val="004F7FAD"/>
    <w:rsid w:val="00501632"/>
    <w:rsid w:val="00502412"/>
    <w:rsid w:val="00502B1A"/>
    <w:rsid w:val="00505ED3"/>
    <w:rsid w:val="0051458E"/>
    <w:rsid w:val="005168E1"/>
    <w:rsid w:val="00516FD7"/>
    <w:rsid w:val="00517849"/>
    <w:rsid w:val="0051790E"/>
    <w:rsid w:val="00517A7B"/>
    <w:rsid w:val="00520362"/>
    <w:rsid w:val="005311CA"/>
    <w:rsid w:val="00531EA9"/>
    <w:rsid w:val="0053208A"/>
    <w:rsid w:val="005352D5"/>
    <w:rsid w:val="00537080"/>
    <w:rsid w:val="00540E11"/>
    <w:rsid w:val="00541C77"/>
    <w:rsid w:val="00543F93"/>
    <w:rsid w:val="00547942"/>
    <w:rsid w:val="005561D9"/>
    <w:rsid w:val="00557929"/>
    <w:rsid w:val="005579F1"/>
    <w:rsid w:val="00557D1A"/>
    <w:rsid w:val="005609AB"/>
    <w:rsid w:val="00561FBB"/>
    <w:rsid w:val="00563992"/>
    <w:rsid w:val="00566C15"/>
    <w:rsid w:val="005675D1"/>
    <w:rsid w:val="00571D7F"/>
    <w:rsid w:val="0057254C"/>
    <w:rsid w:val="00573E6C"/>
    <w:rsid w:val="005745CE"/>
    <w:rsid w:val="00574CF1"/>
    <w:rsid w:val="005755B3"/>
    <w:rsid w:val="00577B94"/>
    <w:rsid w:val="00577DFD"/>
    <w:rsid w:val="005816EF"/>
    <w:rsid w:val="00581B29"/>
    <w:rsid w:val="00581D48"/>
    <w:rsid w:val="00583CE1"/>
    <w:rsid w:val="00584646"/>
    <w:rsid w:val="00586E9E"/>
    <w:rsid w:val="00591376"/>
    <w:rsid w:val="005916E2"/>
    <w:rsid w:val="005A1417"/>
    <w:rsid w:val="005A1FF2"/>
    <w:rsid w:val="005A2BF5"/>
    <w:rsid w:val="005A3C72"/>
    <w:rsid w:val="005A541A"/>
    <w:rsid w:val="005A68C4"/>
    <w:rsid w:val="005A7E50"/>
    <w:rsid w:val="005B2529"/>
    <w:rsid w:val="005B2722"/>
    <w:rsid w:val="005B36B6"/>
    <w:rsid w:val="005B3B41"/>
    <w:rsid w:val="005B5387"/>
    <w:rsid w:val="005B601F"/>
    <w:rsid w:val="005B7F69"/>
    <w:rsid w:val="005C117D"/>
    <w:rsid w:val="005C15C5"/>
    <w:rsid w:val="005C2FD8"/>
    <w:rsid w:val="005C4BEB"/>
    <w:rsid w:val="005C55DB"/>
    <w:rsid w:val="005C6433"/>
    <w:rsid w:val="005C67BD"/>
    <w:rsid w:val="005C6E61"/>
    <w:rsid w:val="005D2101"/>
    <w:rsid w:val="005D338A"/>
    <w:rsid w:val="005D3B0E"/>
    <w:rsid w:val="005D70B4"/>
    <w:rsid w:val="005D714F"/>
    <w:rsid w:val="005E4AE6"/>
    <w:rsid w:val="005E5159"/>
    <w:rsid w:val="005E52BC"/>
    <w:rsid w:val="005E575B"/>
    <w:rsid w:val="005E66F6"/>
    <w:rsid w:val="005E6D59"/>
    <w:rsid w:val="005F013A"/>
    <w:rsid w:val="005F1A4F"/>
    <w:rsid w:val="005F21A8"/>
    <w:rsid w:val="005F2C95"/>
    <w:rsid w:val="005F2CE1"/>
    <w:rsid w:val="005F3DD1"/>
    <w:rsid w:val="005F5F81"/>
    <w:rsid w:val="005F65F6"/>
    <w:rsid w:val="005F78EB"/>
    <w:rsid w:val="00600394"/>
    <w:rsid w:val="00604E6C"/>
    <w:rsid w:val="00605360"/>
    <w:rsid w:val="00605A2E"/>
    <w:rsid w:val="006104B0"/>
    <w:rsid w:val="006113FA"/>
    <w:rsid w:val="00612360"/>
    <w:rsid w:val="006144EB"/>
    <w:rsid w:val="00621CF0"/>
    <w:rsid w:val="00623063"/>
    <w:rsid w:val="00626260"/>
    <w:rsid w:val="00632DE1"/>
    <w:rsid w:val="0063375B"/>
    <w:rsid w:val="0063553A"/>
    <w:rsid w:val="006373EE"/>
    <w:rsid w:val="00637B9A"/>
    <w:rsid w:val="006432C0"/>
    <w:rsid w:val="00643E7C"/>
    <w:rsid w:val="0064433E"/>
    <w:rsid w:val="00645D74"/>
    <w:rsid w:val="00646E0E"/>
    <w:rsid w:val="00651C3C"/>
    <w:rsid w:val="006522E8"/>
    <w:rsid w:val="006704BE"/>
    <w:rsid w:val="00671BBE"/>
    <w:rsid w:val="00677653"/>
    <w:rsid w:val="00684440"/>
    <w:rsid w:val="0068657D"/>
    <w:rsid w:val="006900BF"/>
    <w:rsid w:val="006902F8"/>
    <w:rsid w:val="006913B9"/>
    <w:rsid w:val="006927B9"/>
    <w:rsid w:val="00694B36"/>
    <w:rsid w:val="00696AAF"/>
    <w:rsid w:val="006976FD"/>
    <w:rsid w:val="00697980"/>
    <w:rsid w:val="006A0273"/>
    <w:rsid w:val="006A3116"/>
    <w:rsid w:val="006A3890"/>
    <w:rsid w:val="006A39A9"/>
    <w:rsid w:val="006A6B13"/>
    <w:rsid w:val="006A785E"/>
    <w:rsid w:val="006B0C5D"/>
    <w:rsid w:val="006B38C2"/>
    <w:rsid w:val="006B424F"/>
    <w:rsid w:val="006B49EE"/>
    <w:rsid w:val="006B5DC3"/>
    <w:rsid w:val="006B615A"/>
    <w:rsid w:val="006B655B"/>
    <w:rsid w:val="006B6EC7"/>
    <w:rsid w:val="006C529A"/>
    <w:rsid w:val="006D1786"/>
    <w:rsid w:val="006D20E6"/>
    <w:rsid w:val="006D5892"/>
    <w:rsid w:val="006D6121"/>
    <w:rsid w:val="006E012E"/>
    <w:rsid w:val="006E0244"/>
    <w:rsid w:val="006E0716"/>
    <w:rsid w:val="006E605B"/>
    <w:rsid w:val="006F1236"/>
    <w:rsid w:val="006F2CC6"/>
    <w:rsid w:val="006F48C3"/>
    <w:rsid w:val="006F58C7"/>
    <w:rsid w:val="006F6C80"/>
    <w:rsid w:val="006F7912"/>
    <w:rsid w:val="00700C5B"/>
    <w:rsid w:val="007021B8"/>
    <w:rsid w:val="0070656A"/>
    <w:rsid w:val="00707FB1"/>
    <w:rsid w:val="00710A04"/>
    <w:rsid w:val="007157D2"/>
    <w:rsid w:val="00720BBD"/>
    <w:rsid w:val="007213CC"/>
    <w:rsid w:val="007225B6"/>
    <w:rsid w:val="00723FF1"/>
    <w:rsid w:val="00724AC7"/>
    <w:rsid w:val="00724B1B"/>
    <w:rsid w:val="00727DF9"/>
    <w:rsid w:val="00730282"/>
    <w:rsid w:val="007334E3"/>
    <w:rsid w:val="00737F90"/>
    <w:rsid w:val="00740C02"/>
    <w:rsid w:val="00742A9F"/>
    <w:rsid w:val="00742EE4"/>
    <w:rsid w:val="007451BA"/>
    <w:rsid w:val="00746BC6"/>
    <w:rsid w:val="00747862"/>
    <w:rsid w:val="007505C2"/>
    <w:rsid w:val="007513AA"/>
    <w:rsid w:val="00752714"/>
    <w:rsid w:val="00752A9A"/>
    <w:rsid w:val="00753D3B"/>
    <w:rsid w:val="00755BB2"/>
    <w:rsid w:val="00755C4F"/>
    <w:rsid w:val="00760615"/>
    <w:rsid w:val="00762464"/>
    <w:rsid w:val="00763F55"/>
    <w:rsid w:val="00767834"/>
    <w:rsid w:val="007708AB"/>
    <w:rsid w:val="00770B9B"/>
    <w:rsid w:val="00772540"/>
    <w:rsid w:val="00786CD1"/>
    <w:rsid w:val="00790A83"/>
    <w:rsid w:val="00791A40"/>
    <w:rsid w:val="007924D1"/>
    <w:rsid w:val="00794536"/>
    <w:rsid w:val="00795259"/>
    <w:rsid w:val="00795378"/>
    <w:rsid w:val="00797973"/>
    <w:rsid w:val="007A12DD"/>
    <w:rsid w:val="007A1994"/>
    <w:rsid w:val="007A1FF8"/>
    <w:rsid w:val="007A26A7"/>
    <w:rsid w:val="007A4A79"/>
    <w:rsid w:val="007B1065"/>
    <w:rsid w:val="007B2DCB"/>
    <w:rsid w:val="007B3259"/>
    <w:rsid w:val="007B64E5"/>
    <w:rsid w:val="007B710B"/>
    <w:rsid w:val="007B7690"/>
    <w:rsid w:val="007C064A"/>
    <w:rsid w:val="007C1BD3"/>
    <w:rsid w:val="007C2038"/>
    <w:rsid w:val="007C6266"/>
    <w:rsid w:val="007D0881"/>
    <w:rsid w:val="007D1567"/>
    <w:rsid w:val="007D380D"/>
    <w:rsid w:val="007D5F6E"/>
    <w:rsid w:val="007D745F"/>
    <w:rsid w:val="007E03F2"/>
    <w:rsid w:val="007E27A9"/>
    <w:rsid w:val="007E3662"/>
    <w:rsid w:val="007E3A5D"/>
    <w:rsid w:val="007F146B"/>
    <w:rsid w:val="007F1B8A"/>
    <w:rsid w:val="007F4CE8"/>
    <w:rsid w:val="00800933"/>
    <w:rsid w:val="008035E4"/>
    <w:rsid w:val="00804D3B"/>
    <w:rsid w:val="00804D9B"/>
    <w:rsid w:val="00812434"/>
    <w:rsid w:val="0082038F"/>
    <w:rsid w:val="008255B3"/>
    <w:rsid w:val="00825DC2"/>
    <w:rsid w:val="008264B9"/>
    <w:rsid w:val="00826C0B"/>
    <w:rsid w:val="00827FAC"/>
    <w:rsid w:val="00832690"/>
    <w:rsid w:val="008408C3"/>
    <w:rsid w:val="00843C69"/>
    <w:rsid w:val="0085279A"/>
    <w:rsid w:val="0085796C"/>
    <w:rsid w:val="008601AB"/>
    <w:rsid w:val="00862471"/>
    <w:rsid w:val="00871BBC"/>
    <w:rsid w:val="00872043"/>
    <w:rsid w:val="008750EC"/>
    <w:rsid w:val="00876DA5"/>
    <w:rsid w:val="008821B6"/>
    <w:rsid w:val="0088526B"/>
    <w:rsid w:val="008867FB"/>
    <w:rsid w:val="00886F76"/>
    <w:rsid w:val="00892C44"/>
    <w:rsid w:val="0089345E"/>
    <w:rsid w:val="0089373C"/>
    <w:rsid w:val="00893CA2"/>
    <w:rsid w:val="008A071D"/>
    <w:rsid w:val="008A1B4D"/>
    <w:rsid w:val="008A5B2E"/>
    <w:rsid w:val="008A712A"/>
    <w:rsid w:val="008B0357"/>
    <w:rsid w:val="008B0A62"/>
    <w:rsid w:val="008B0B39"/>
    <w:rsid w:val="008B3000"/>
    <w:rsid w:val="008B7E29"/>
    <w:rsid w:val="008C0DBE"/>
    <w:rsid w:val="008C1772"/>
    <w:rsid w:val="008C2E41"/>
    <w:rsid w:val="008C6C7E"/>
    <w:rsid w:val="008C762E"/>
    <w:rsid w:val="008D0211"/>
    <w:rsid w:val="008D03C1"/>
    <w:rsid w:val="008D094F"/>
    <w:rsid w:val="008D1787"/>
    <w:rsid w:val="008D2A4F"/>
    <w:rsid w:val="008E0ADB"/>
    <w:rsid w:val="008E6048"/>
    <w:rsid w:val="008E6442"/>
    <w:rsid w:val="008F34CD"/>
    <w:rsid w:val="008F5EAE"/>
    <w:rsid w:val="008F6FCB"/>
    <w:rsid w:val="00901ED7"/>
    <w:rsid w:val="00903541"/>
    <w:rsid w:val="00905395"/>
    <w:rsid w:val="009058FF"/>
    <w:rsid w:val="009113A7"/>
    <w:rsid w:val="00914B57"/>
    <w:rsid w:val="00914C1E"/>
    <w:rsid w:val="00915A5C"/>
    <w:rsid w:val="00920A48"/>
    <w:rsid w:val="00931545"/>
    <w:rsid w:val="00932D09"/>
    <w:rsid w:val="009339C9"/>
    <w:rsid w:val="009346BD"/>
    <w:rsid w:val="009354B0"/>
    <w:rsid w:val="009360CA"/>
    <w:rsid w:val="00940283"/>
    <w:rsid w:val="0094310B"/>
    <w:rsid w:val="00943865"/>
    <w:rsid w:val="0094463F"/>
    <w:rsid w:val="00947570"/>
    <w:rsid w:val="00947E6C"/>
    <w:rsid w:val="00950933"/>
    <w:rsid w:val="00951001"/>
    <w:rsid w:val="0095387E"/>
    <w:rsid w:val="0095541E"/>
    <w:rsid w:val="009569A5"/>
    <w:rsid w:val="00957169"/>
    <w:rsid w:val="009579B1"/>
    <w:rsid w:val="00957BCA"/>
    <w:rsid w:val="00960BCA"/>
    <w:rsid w:val="00961720"/>
    <w:rsid w:val="00961C7F"/>
    <w:rsid w:val="00961D16"/>
    <w:rsid w:val="009627F7"/>
    <w:rsid w:val="00963152"/>
    <w:rsid w:val="00964DC2"/>
    <w:rsid w:val="00966D9D"/>
    <w:rsid w:val="009750AF"/>
    <w:rsid w:val="00976979"/>
    <w:rsid w:val="00976E25"/>
    <w:rsid w:val="00976F1C"/>
    <w:rsid w:val="0098171E"/>
    <w:rsid w:val="00983154"/>
    <w:rsid w:val="00984931"/>
    <w:rsid w:val="0098554D"/>
    <w:rsid w:val="00992F0F"/>
    <w:rsid w:val="00993C73"/>
    <w:rsid w:val="00994C8F"/>
    <w:rsid w:val="0099564A"/>
    <w:rsid w:val="009A12B0"/>
    <w:rsid w:val="009A6770"/>
    <w:rsid w:val="009A6E5A"/>
    <w:rsid w:val="009A6EF3"/>
    <w:rsid w:val="009B1D1C"/>
    <w:rsid w:val="009B2B15"/>
    <w:rsid w:val="009B3666"/>
    <w:rsid w:val="009B394E"/>
    <w:rsid w:val="009B4A37"/>
    <w:rsid w:val="009B4C92"/>
    <w:rsid w:val="009B5A14"/>
    <w:rsid w:val="009C1997"/>
    <w:rsid w:val="009C1D5D"/>
    <w:rsid w:val="009C463C"/>
    <w:rsid w:val="009C4FB9"/>
    <w:rsid w:val="009C53BC"/>
    <w:rsid w:val="009C53F2"/>
    <w:rsid w:val="009C7ED4"/>
    <w:rsid w:val="009D4F2C"/>
    <w:rsid w:val="009E0225"/>
    <w:rsid w:val="009E24AF"/>
    <w:rsid w:val="009E251D"/>
    <w:rsid w:val="009E30CA"/>
    <w:rsid w:val="009E4343"/>
    <w:rsid w:val="009E5000"/>
    <w:rsid w:val="009E5E31"/>
    <w:rsid w:val="009F1C94"/>
    <w:rsid w:val="009F3A9B"/>
    <w:rsid w:val="009F46B6"/>
    <w:rsid w:val="009F470F"/>
    <w:rsid w:val="00A01A48"/>
    <w:rsid w:val="00A02771"/>
    <w:rsid w:val="00A04A19"/>
    <w:rsid w:val="00A0621C"/>
    <w:rsid w:val="00A1131B"/>
    <w:rsid w:val="00A11846"/>
    <w:rsid w:val="00A12753"/>
    <w:rsid w:val="00A168D6"/>
    <w:rsid w:val="00A17258"/>
    <w:rsid w:val="00A23197"/>
    <w:rsid w:val="00A23C6D"/>
    <w:rsid w:val="00A34F22"/>
    <w:rsid w:val="00A35E54"/>
    <w:rsid w:val="00A369E3"/>
    <w:rsid w:val="00A3734C"/>
    <w:rsid w:val="00A41201"/>
    <w:rsid w:val="00A42BE9"/>
    <w:rsid w:val="00A43101"/>
    <w:rsid w:val="00A50037"/>
    <w:rsid w:val="00A510E4"/>
    <w:rsid w:val="00A52145"/>
    <w:rsid w:val="00A53F4E"/>
    <w:rsid w:val="00A5440D"/>
    <w:rsid w:val="00A5488F"/>
    <w:rsid w:val="00A57B93"/>
    <w:rsid w:val="00A6107C"/>
    <w:rsid w:val="00A6202E"/>
    <w:rsid w:val="00A62C97"/>
    <w:rsid w:val="00A62F22"/>
    <w:rsid w:val="00A6382C"/>
    <w:rsid w:val="00A6728C"/>
    <w:rsid w:val="00A7012B"/>
    <w:rsid w:val="00A71952"/>
    <w:rsid w:val="00A72DB2"/>
    <w:rsid w:val="00A73E52"/>
    <w:rsid w:val="00A74F38"/>
    <w:rsid w:val="00A8109A"/>
    <w:rsid w:val="00A85258"/>
    <w:rsid w:val="00A855AB"/>
    <w:rsid w:val="00A96021"/>
    <w:rsid w:val="00A96125"/>
    <w:rsid w:val="00AA0AD8"/>
    <w:rsid w:val="00AA29C9"/>
    <w:rsid w:val="00AA3775"/>
    <w:rsid w:val="00AA4C12"/>
    <w:rsid w:val="00AA53D9"/>
    <w:rsid w:val="00AA5A9E"/>
    <w:rsid w:val="00AA5CFB"/>
    <w:rsid w:val="00AA755E"/>
    <w:rsid w:val="00AB1C52"/>
    <w:rsid w:val="00AB2FA5"/>
    <w:rsid w:val="00AB45A3"/>
    <w:rsid w:val="00AB54CE"/>
    <w:rsid w:val="00AB745B"/>
    <w:rsid w:val="00AC034F"/>
    <w:rsid w:val="00AC05C8"/>
    <w:rsid w:val="00AC1936"/>
    <w:rsid w:val="00AC28F2"/>
    <w:rsid w:val="00AC4BBD"/>
    <w:rsid w:val="00AC5C2A"/>
    <w:rsid w:val="00AD0093"/>
    <w:rsid w:val="00AD0E0B"/>
    <w:rsid w:val="00AD1B15"/>
    <w:rsid w:val="00AD3FCA"/>
    <w:rsid w:val="00AD56CA"/>
    <w:rsid w:val="00AD5798"/>
    <w:rsid w:val="00AD66BF"/>
    <w:rsid w:val="00AE0AD5"/>
    <w:rsid w:val="00AE0BAE"/>
    <w:rsid w:val="00AE15E4"/>
    <w:rsid w:val="00AE2CAD"/>
    <w:rsid w:val="00AE36CC"/>
    <w:rsid w:val="00AE59C2"/>
    <w:rsid w:val="00AE6EFC"/>
    <w:rsid w:val="00AE7157"/>
    <w:rsid w:val="00AF1839"/>
    <w:rsid w:val="00AF5127"/>
    <w:rsid w:val="00AF5437"/>
    <w:rsid w:val="00B00AF7"/>
    <w:rsid w:val="00B035D6"/>
    <w:rsid w:val="00B05B77"/>
    <w:rsid w:val="00B06769"/>
    <w:rsid w:val="00B068C2"/>
    <w:rsid w:val="00B1053F"/>
    <w:rsid w:val="00B1150A"/>
    <w:rsid w:val="00B14D34"/>
    <w:rsid w:val="00B15D50"/>
    <w:rsid w:val="00B17677"/>
    <w:rsid w:val="00B17BCA"/>
    <w:rsid w:val="00B20338"/>
    <w:rsid w:val="00B21E1A"/>
    <w:rsid w:val="00B21E84"/>
    <w:rsid w:val="00B23255"/>
    <w:rsid w:val="00B23CC7"/>
    <w:rsid w:val="00B267F8"/>
    <w:rsid w:val="00B34563"/>
    <w:rsid w:val="00B40608"/>
    <w:rsid w:val="00B459A6"/>
    <w:rsid w:val="00B475EF"/>
    <w:rsid w:val="00B52EE9"/>
    <w:rsid w:val="00B53137"/>
    <w:rsid w:val="00B53586"/>
    <w:rsid w:val="00B54346"/>
    <w:rsid w:val="00B5726E"/>
    <w:rsid w:val="00B577A5"/>
    <w:rsid w:val="00B57E30"/>
    <w:rsid w:val="00B6028A"/>
    <w:rsid w:val="00B62C3F"/>
    <w:rsid w:val="00B63F3E"/>
    <w:rsid w:val="00B63FA7"/>
    <w:rsid w:val="00B704B8"/>
    <w:rsid w:val="00B72A4F"/>
    <w:rsid w:val="00B81281"/>
    <w:rsid w:val="00B8285E"/>
    <w:rsid w:val="00B87091"/>
    <w:rsid w:val="00BA34D3"/>
    <w:rsid w:val="00BA385E"/>
    <w:rsid w:val="00BA39E1"/>
    <w:rsid w:val="00BA5296"/>
    <w:rsid w:val="00BA54DB"/>
    <w:rsid w:val="00BA6E30"/>
    <w:rsid w:val="00BB1734"/>
    <w:rsid w:val="00BB3D37"/>
    <w:rsid w:val="00BB4819"/>
    <w:rsid w:val="00BB5990"/>
    <w:rsid w:val="00BB5B35"/>
    <w:rsid w:val="00BB6F7F"/>
    <w:rsid w:val="00BB751B"/>
    <w:rsid w:val="00BC008D"/>
    <w:rsid w:val="00BC39BB"/>
    <w:rsid w:val="00BC481B"/>
    <w:rsid w:val="00BC4AB6"/>
    <w:rsid w:val="00BD15DE"/>
    <w:rsid w:val="00BD6DF5"/>
    <w:rsid w:val="00BD7D88"/>
    <w:rsid w:val="00BE0150"/>
    <w:rsid w:val="00BE18D1"/>
    <w:rsid w:val="00BE1DEF"/>
    <w:rsid w:val="00BE2DEA"/>
    <w:rsid w:val="00BE3565"/>
    <w:rsid w:val="00BE641B"/>
    <w:rsid w:val="00BE6F43"/>
    <w:rsid w:val="00BE7527"/>
    <w:rsid w:val="00BF200F"/>
    <w:rsid w:val="00BF2218"/>
    <w:rsid w:val="00BF23FE"/>
    <w:rsid w:val="00BF3C3F"/>
    <w:rsid w:val="00BF4AC5"/>
    <w:rsid w:val="00BF7797"/>
    <w:rsid w:val="00C007F6"/>
    <w:rsid w:val="00C105D9"/>
    <w:rsid w:val="00C10A1B"/>
    <w:rsid w:val="00C1200E"/>
    <w:rsid w:val="00C16916"/>
    <w:rsid w:val="00C1761E"/>
    <w:rsid w:val="00C179D4"/>
    <w:rsid w:val="00C234A3"/>
    <w:rsid w:val="00C2528C"/>
    <w:rsid w:val="00C26B68"/>
    <w:rsid w:val="00C26E0A"/>
    <w:rsid w:val="00C3070B"/>
    <w:rsid w:val="00C3454C"/>
    <w:rsid w:val="00C36A2D"/>
    <w:rsid w:val="00C36C34"/>
    <w:rsid w:val="00C436B7"/>
    <w:rsid w:val="00C473DC"/>
    <w:rsid w:val="00C52F0A"/>
    <w:rsid w:val="00C53353"/>
    <w:rsid w:val="00C56245"/>
    <w:rsid w:val="00C5685D"/>
    <w:rsid w:val="00C5798B"/>
    <w:rsid w:val="00C60539"/>
    <w:rsid w:val="00C637F1"/>
    <w:rsid w:val="00C66051"/>
    <w:rsid w:val="00C66339"/>
    <w:rsid w:val="00C66C47"/>
    <w:rsid w:val="00C718E7"/>
    <w:rsid w:val="00C74A47"/>
    <w:rsid w:val="00C755AD"/>
    <w:rsid w:val="00C756E6"/>
    <w:rsid w:val="00C75D7C"/>
    <w:rsid w:val="00C763AC"/>
    <w:rsid w:val="00C832E0"/>
    <w:rsid w:val="00C85314"/>
    <w:rsid w:val="00C874B0"/>
    <w:rsid w:val="00C87648"/>
    <w:rsid w:val="00C91A84"/>
    <w:rsid w:val="00C91D61"/>
    <w:rsid w:val="00C96264"/>
    <w:rsid w:val="00C97A68"/>
    <w:rsid w:val="00CA1F2C"/>
    <w:rsid w:val="00CA3C44"/>
    <w:rsid w:val="00CA57D6"/>
    <w:rsid w:val="00CB0481"/>
    <w:rsid w:val="00CB13F7"/>
    <w:rsid w:val="00CB583C"/>
    <w:rsid w:val="00CC060F"/>
    <w:rsid w:val="00CC0F0E"/>
    <w:rsid w:val="00CC2CB2"/>
    <w:rsid w:val="00CC403E"/>
    <w:rsid w:val="00CC5894"/>
    <w:rsid w:val="00CC5EB1"/>
    <w:rsid w:val="00CD029A"/>
    <w:rsid w:val="00CD308F"/>
    <w:rsid w:val="00CD3D40"/>
    <w:rsid w:val="00CD5BA8"/>
    <w:rsid w:val="00CE0ABB"/>
    <w:rsid w:val="00CE1A42"/>
    <w:rsid w:val="00CE37A8"/>
    <w:rsid w:val="00CE61D7"/>
    <w:rsid w:val="00CE61EB"/>
    <w:rsid w:val="00CF0F68"/>
    <w:rsid w:val="00CF167D"/>
    <w:rsid w:val="00CF24BE"/>
    <w:rsid w:val="00CF2EEF"/>
    <w:rsid w:val="00CF67AF"/>
    <w:rsid w:val="00D00480"/>
    <w:rsid w:val="00D074E4"/>
    <w:rsid w:val="00D12294"/>
    <w:rsid w:val="00D14134"/>
    <w:rsid w:val="00D159D8"/>
    <w:rsid w:val="00D23055"/>
    <w:rsid w:val="00D272B3"/>
    <w:rsid w:val="00D3100C"/>
    <w:rsid w:val="00D320DD"/>
    <w:rsid w:val="00D3397E"/>
    <w:rsid w:val="00D33B96"/>
    <w:rsid w:val="00D367CE"/>
    <w:rsid w:val="00D376EA"/>
    <w:rsid w:val="00D4063C"/>
    <w:rsid w:val="00D424AF"/>
    <w:rsid w:val="00D44C87"/>
    <w:rsid w:val="00D46F8C"/>
    <w:rsid w:val="00D47E74"/>
    <w:rsid w:val="00D511ED"/>
    <w:rsid w:val="00D517B0"/>
    <w:rsid w:val="00D525C2"/>
    <w:rsid w:val="00D52C7F"/>
    <w:rsid w:val="00D557C0"/>
    <w:rsid w:val="00D56E48"/>
    <w:rsid w:val="00D63522"/>
    <w:rsid w:val="00D63CD6"/>
    <w:rsid w:val="00D652E4"/>
    <w:rsid w:val="00D70FDD"/>
    <w:rsid w:val="00D777BE"/>
    <w:rsid w:val="00D80605"/>
    <w:rsid w:val="00D81F51"/>
    <w:rsid w:val="00D85B83"/>
    <w:rsid w:val="00D94FA3"/>
    <w:rsid w:val="00D954E6"/>
    <w:rsid w:val="00D95D45"/>
    <w:rsid w:val="00D963FC"/>
    <w:rsid w:val="00D9795F"/>
    <w:rsid w:val="00DA0D1D"/>
    <w:rsid w:val="00DA1078"/>
    <w:rsid w:val="00DA224F"/>
    <w:rsid w:val="00DA2E88"/>
    <w:rsid w:val="00DA6DEE"/>
    <w:rsid w:val="00DB2909"/>
    <w:rsid w:val="00DB4FAA"/>
    <w:rsid w:val="00DB549B"/>
    <w:rsid w:val="00DB628F"/>
    <w:rsid w:val="00DC108D"/>
    <w:rsid w:val="00DC320C"/>
    <w:rsid w:val="00DC326C"/>
    <w:rsid w:val="00DC5900"/>
    <w:rsid w:val="00DD0218"/>
    <w:rsid w:val="00DD0EE1"/>
    <w:rsid w:val="00DD22BA"/>
    <w:rsid w:val="00DD6086"/>
    <w:rsid w:val="00DE1791"/>
    <w:rsid w:val="00DE1864"/>
    <w:rsid w:val="00DE1E43"/>
    <w:rsid w:val="00DE31AC"/>
    <w:rsid w:val="00DE33B6"/>
    <w:rsid w:val="00DE5E00"/>
    <w:rsid w:val="00DE6252"/>
    <w:rsid w:val="00DE73DF"/>
    <w:rsid w:val="00DF225B"/>
    <w:rsid w:val="00DF2C39"/>
    <w:rsid w:val="00DF3F1B"/>
    <w:rsid w:val="00DF60CC"/>
    <w:rsid w:val="00E0283A"/>
    <w:rsid w:val="00E03253"/>
    <w:rsid w:val="00E038C1"/>
    <w:rsid w:val="00E04945"/>
    <w:rsid w:val="00E0740B"/>
    <w:rsid w:val="00E12F50"/>
    <w:rsid w:val="00E16377"/>
    <w:rsid w:val="00E23C07"/>
    <w:rsid w:val="00E26544"/>
    <w:rsid w:val="00E27FF0"/>
    <w:rsid w:val="00E30777"/>
    <w:rsid w:val="00E34441"/>
    <w:rsid w:val="00E42E10"/>
    <w:rsid w:val="00E43F91"/>
    <w:rsid w:val="00E44011"/>
    <w:rsid w:val="00E445B3"/>
    <w:rsid w:val="00E47A98"/>
    <w:rsid w:val="00E52A86"/>
    <w:rsid w:val="00E52D8A"/>
    <w:rsid w:val="00E56AE1"/>
    <w:rsid w:val="00E61606"/>
    <w:rsid w:val="00E63E7D"/>
    <w:rsid w:val="00E65124"/>
    <w:rsid w:val="00E67C2C"/>
    <w:rsid w:val="00E76677"/>
    <w:rsid w:val="00E80277"/>
    <w:rsid w:val="00E92393"/>
    <w:rsid w:val="00E96015"/>
    <w:rsid w:val="00E96C0D"/>
    <w:rsid w:val="00E96FEE"/>
    <w:rsid w:val="00E97FEB"/>
    <w:rsid w:val="00EA039B"/>
    <w:rsid w:val="00EA0C81"/>
    <w:rsid w:val="00EA3D51"/>
    <w:rsid w:val="00EB0711"/>
    <w:rsid w:val="00EB1BC6"/>
    <w:rsid w:val="00EB2960"/>
    <w:rsid w:val="00EB304B"/>
    <w:rsid w:val="00EB51B8"/>
    <w:rsid w:val="00EB5E3A"/>
    <w:rsid w:val="00EC0536"/>
    <w:rsid w:val="00EC1002"/>
    <w:rsid w:val="00EC1FAE"/>
    <w:rsid w:val="00EC2739"/>
    <w:rsid w:val="00EC2A99"/>
    <w:rsid w:val="00EC3AEF"/>
    <w:rsid w:val="00ED3E21"/>
    <w:rsid w:val="00ED5AC4"/>
    <w:rsid w:val="00EE102B"/>
    <w:rsid w:val="00EE5B60"/>
    <w:rsid w:val="00EF11F8"/>
    <w:rsid w:val="00EF1DE1"/>
    <w:rsid w:val="00EF2FC2"/>
    <w:rsid w:val="00EF4B72"/>
    <w:rsid w:val="00EF62AF"/>
    <w:rsid w:val="00F00660"/>
    <w:rsid w:val="00F0083B"/>
    <w:rsid w:val="00F01067"/>
    <w:rsid w:val="00F01492"/>
    <w:rsid w:val="00F039B8"/>
    <w:rsid w:val="00F054C5"/>
    <w:rsid w:val="00F05C69"/>
    <w:rsid w:val="00F05CE2"/>
    <w:rsid w:val="00F06F6F"/>
    <w:rsid w:val="00F102F9"/>
    <w:rsid w:val="00F10CA5"/>
    <w:rsid w:val="00F149AB"/>
    <w:rsid w:val="00F15434"/>
    <w:rsid w:val="00F17B47"/>
    <w:rsid w:val="00F17D39"/>
    <w:rsid w:val="00F20723"/>
    <w:rsid w:val="00F228D5"/>
    <w:rsid w:val="00F24CB3"/>
    <w:rsid w:val="00F2568B"/>
    <w:rsid w:val="00F260AE"/>
    <w:rsid w:val="00F32268"/>
    <w:rsid w:val="00F400AB"/>
    <w:rsid w:val="00F40E68"/>
    <w:rsid w:val="00F426D5"/>
    <w:rsid w:val="00F454D9"/>
    <w:rsid w:val="00F47858"/>
    <w:rsid w:val="00F50023"/>
    <w:rsid w:val="00F5167B"/>
    <w:rsid w:val="00F53304"/>
    <w:rsid w:val="00F53BD6"/>
    <w:rsid w:val="00F54BE5"/>
    <w:rsid w:val="00F561FB"/>
    <w:rsid w:val="00F56D2D"/>
    <w:rsid w:val="00F56E23"/>
    <w:rsid w:val="00F600E2"/>
    <w:rsid w:val="00F60236"/>
    <w:rsid w:val="00F605D3"/>
    <w:rsid w:val="00F62EBB"/>
    <w:rsid w:val="00F64E2D"/>
    <w:rsid w:val="00F6773F"/>
    <w:rsid w:val="00F67D47"/>
    <w:rsid w:val="00F7078E"/>
    <w:rsid w:val="00F716B7"/>
    <w:rsid w:val="00F721DE"/>
    <w:rsid w:val="00F73F9A"/>
    <w:rsid w:val="00F74823"/>
    <w:rsid w:val="00F74E6E"/>
    <w:rsid w:val="00F76C02"/>
    <w:rsid w:val="00F76F99"/>
    <w:rsid w:val="00F777EB"/>
    <w:rsid w:val="00F80060"/>
    <w:rsid w:val="00F830CE"/>
    <w:rsid w:val="00F83A9A"/>
    <w:rsid w:val="00F9212F"/>
    <w:rsid w:val="00F92915"/>
    <w:rsid w:val="00F94F55"/>
    <w:rsid w:val="00F95D5B"/>
    <w:rsid w:val="00F96682"/>
    <w:rsid w:val="00FA056F"/>
    <w:rsid w:val="00FA1653"/>
    <w:rsid w:val="00FA57CC"/>
    <w:rsid w:val="00FA746F"/>
    <w:rsid w:val="00FB32D7"/>
    <w:rsid w:val="00FB4337"/>
    <w:rsid w:val="00FB493C"/>
    <w:rsid w:val="00FB69D8"/>
    <w:rsid w:val="00FC5EBF"/>
    <w:rsid w:val="00FC68A1"/>
    <w:rsid w:val="00FC6B77"/>
    <w:rsid w:val="00FC7BF2"/>
    <w:rsid w:val="00FD0254"/>
    <w:rsid w:val="00FD2AD4"/>
    <w:rsid w:val="00FD494D"/>
    <w:rsid w:val="00FD5E27"/>
    <w:rsid w:val="00FE0988"/>
    <w:rsid w:val="00FE1A37"/>
    <w:rsid w:val="00FE253B"/>
    <w:rsid w:val="00FE5F4A"/>
    <w:rsid w:val="00FE6D81"/>
    <w:rsid w:val="00FE724D"/>
    <w:rsid w:val="00FF2B18"/>
    <w:rsid w:val="00FF3760"/>
    <w:rsid w:val="00FF40A2"/>
    <w:rsid w:val="00FF510E"/>
    <w:rsid w:val="00FF56D0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29384-21A9-4B60-9A0E-44B3418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D2AD4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AD56CA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1F5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1F55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B54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54CE"/>
    <w:pPr>
      <w:tabs>
        <w:tab w:val="center" w:pos="4536"/>
        <w:tab w:val="right" w:pos="9072"/>
      </w:tabs>
    </w:pPr>
  </w:style>
  <w:style w:type="paragraph" w:customStyle="1" w:styleId="Style6">
    <w:name w:val="Style6"/>
    <w:basedOn w:val="Titre2"/>
    <w:autoRedefine/>
    <w:rsid w:val="001F5583"/>
    <w:pPr>
      <w:spacing w:before="0" w:after="0"/>
      <w:jc w:val="both"/>
    </w:pPr>
    <w:rPr>
      <w:rFonts w:ascii="Times" w:hAnsi="Times" w:cs="Times New Roman"/>
      <w:bCs w:val="0"/>
      <w:iCs w:val="0"/>
      <w:szCs w:val="20"/>
    </w:rPr>
  </w:style>
  <w:style w:type="paragraph" w:customStyle="1" w:styleId="Style7">
    <w:name w:val="Style7"/>
    <w:basedOn w:val="Titre6"/>
    <w:autoRedefine/>
    <w:rsid w:val="001F5583"/>
    <w:rPr>
      <w:rFonts w:ascii="Times" w:eastAsia="Times" w:hAnsi="Times"/>
      <w:bCs w:val="0"/>
      <w:i/>
      <w:sz w:val="28"/>
      <w:szCs w:val="20"/>
    </w:rPr>
  </w:style>
  <w:style w:type="character" w:styleId="Lienhypertexte">
    <w:name w:val="Hyperlink"/>
    <w:rsid w:val="00984931"/>
    <w:rPr>
      <w:color w:val="0000FF"/>
      <w:u w:val="single"/>
    </w:rPr>
  </w:style>
  <w:style w:type="table" w:styleId="Grilledutableau">
    <w:name w:val="Table Grid"/>
    <w:basedOn w:val="TableauNormal"/>
    <w:rsid w:val="00E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Gauche">
    <w:name w:val="Aligné Gauche"/>
    <w:basedOn w:val="Normal"/>
    <w:rsid w:val="003C33D8"/>
    <w:pPr>
      <w:spacing w:after="120"/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6913B9"/>
  </w:style>
  <w:style w:type="paragraph" w:customStyle="1" w:styleId="StyleTitreVerdana10ptNonGrasGauche">
    <w:name w:val="Style Titre + Verdana 10 pt Non Gras Gauche"/>
    <w:basedOn w:val="Titre"/>
    <w:rsid w:val="00CF67AF"/>
    <w:pPr>
      <w:spacing w:before="120" w:after="120"/>
      <w:jc w:val="left"/>
      <w:outlineLvl w:val="9"/>
    </w:pPr>
    <w:rPr>
      <w:rFonts w:ascii="Verdana" w:hAnsi="Verdana" w:cs="Times New Roman"/>
      <w:b w:val="0"/>
      <w:bCs w:val="0"/>
      <w:caps/>
      <w:kern w:val="0"/>
      <w:sz w:val="20"/>
      <w:szCs w:val="20"/>
    </w:rPr>
  </w:style>
  <w:style w:type="paragraph" w:styleId="Titre">
    <w:name w:val="Title"/>
    <w:basedOn w:val="Normal"/>
    <w:qFormat/>
    <w:rsid w:val="00CF67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Christian Puren</vt:lpstr>
    </vt:vector>
  </TitlesOfParts>
  <Company> 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Puren</dc:title>
  <dc:subject/>
  <dc:creator>Christian Puren</dc:creator>
  <cp:keywords/>
  <dc:description/>
  <cp:lastModifiedBy>XX</cp:lastModifiedBy>
  <cp:revision>2</cp:revision>
  <cp:lastPrinted>2007-11-03T12:26:00Z</cp:lastPrinted>
  <dcterms:created xsi:type="dcterms:W3CDTF">2016-06-11T09:22:00Z</dcterms:created>
  <dcterms:modified xsi:type="dcterms:W3CDTF">2016-06-11T09:22:00Z</dcterms:modified>
</cp:coreProperties>
</file>